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241</w:t>
      </w:r>
    </w:p>
    <w:p>
      <w:r>
        <w:t>Bundesgericht (BGE), 2009-05-12, DE</w:t>
      </w:r>
    </w:p>
    <w:p>
      <w:r>
        <w:rPr>
          <w:b/>
        </w:rPr>
        <w:t xml:space="preserve">Quelle: </w:t>
      </w:r>
      <w:r>
        <w:t>https://mcp.opencaselaw.ch/entscheid/bge_137 III 241</w:t>
      </w:r>
    </w:p>
    <w:p>
      <w:r>
        <w:t>FR: ATF 137 III 241</w:t>
      </w:r>
    </w:p>
    <w:p>
      <w:r>
        <w:t>IT: DTF 137 III 241</w:t>
      </w:r>
    </w:p>
    <w:p>
      <w:pPr>
        <w:pStyle w:val="Heading2"/>
      </w:pPr>
      <w:r>
        <w:t>Regeste</w:t>
      </w:r>
    </w:p>
    <w:p>
      <w:r>
        <w:t>Regeste Art. 264a ZGB und Art. 28 PartG; Stiefkindadoption durch eingetragene Partner. Personen, die in einer eingetragenen Partnerschaft leben, sind nach geltendem Recht nicht zur Adoption zugelassen, auch nicht zur Stiefkindadoption (E. 4). Frage offengelassen, ob das Adoptionsverbot völkerrechtskonform ist, weil die behauptete Diskriminierung gegenüber Ehepaaren im vorliegenden Einzelfall nicht gegeben war (E. 5).</w:t>
      </w:r>
    </w:p>
    <w:p>
      <w:pPr>
        <w:pStyle w:val="Heading2"/>
      </w:pPr>
      <w:r>
        <w:t>Erwägungen</w:t>
      </w:r>
    </w:p>
    <w:p>
      <w:r>
        <w:rPr>
          <w:b/>
        </w:rPr>
        <w:t>E. 4</w:t>
      </w:r>
    </w:p>
    <w:p>
      <w:r>
        <w:t>Die Ehe steht homosexuellen Paaren nach schweizerischem Recht nicht offen. Seit Inkrafttreten des Partnerschaftsgesetzes vom 18. Juni 2004 (PartG; SR 211.231) können diese jedoch eine eingetragene Partnerschaft begründen. Gemäss Art. 28 PartG sind Personen, die in einer eingetragenen Partnerschaft leben, weder zu fortpflanzungsmedizinischen Verfahren noch zur Adoption zugelassen, insbesondere auch nicht zur vorliegend verlangten Stiefkindadoption. Diesbezüglich bestimmt Art. 264a Abs. 3 ZGB , dass eine Person das Kind ihres Ehegatten adoptieren darf, wenn die Ehegatten seit mindestens fünf Jahren verheiratet sind.</w:t>
      </w:r>
    </w:p>
    <w:p>
      <w:r>
        <w:rPr>
          <w:b/>
        </w:rPr>
        <w:t>E. 5</w:t>
      </w:r>
    </w:p>
    <w:p>
      <w:r>
        <w:t>Ob das in Art. 28 PartG enthaltene Adoptionsverbot als solches mit der Bundesverfassung und dem Völkerrecht vereinbar ist, soweit dies aufgrund von Art. 190 BV überprüft werden dürfte, kann vorliegend offengelassen werden, weil die von der BGE 137 III 241 S. 243 Beschwerdeführerin behauptete Diskriminierung gegenüber Ehepaaren in der vorliegenden Konstellation nicht gegeben ist: Eine Adoption durch den Stiefelter ist gemäss Art. 264a Abs. 3 ZGB frühestens nach fünf Ehejahren möglich, wobei die Zeitspanne zwischen Eheschluss und Adoptionsgesuch massgebend ist. Die Beschwerdeführerin lebte bei Gesuchseinreichung seit drei Jahren in einer eingetragenen Partnerschaft. Bei verheirateten Paaren müsste das entsprechende Adoptionsgesuch abgewiesen werden. Die Beschwerdeführerin verlangt mithin etwas, was verheirateten Ehepaaren nach schweizerischem Recht nicht zustehen würde. Folglich ist die Beschwerdeführerin durch die Abweisung des Gesuches nicht diskriminiert; vielmehr wären Ehepaare diskriminiert, wenn homosexuelle Paare ohne Abwarten von Fristen das Kind des eingetragenen Partners adoptieren könnten. Dass die in Art. 264a Abs. 3 ZGB aufgestellte Frist als solche mit übergeordnetem Recht unvereinbar wäre und deshalb auch für Ehepaare nicht gelten könnte, wird in der Beschwerde nirgends behauptet und ist folglich auch nicht zu erörtern, weil das Bundesgericht wegen der in Art. 42 Abs. 2 BGG statuierten Begründungspflicht nur gerügte Rechtsverletzungen prüft ( BGE 134 II 244 E. 2.1 S. 245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